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i w:val="false"/>
          <w:iCs w:val="false"/>
          <w:color w:val="0A0A0A"/>
          <w:sz w:val="36"/>
          <w:szCs w:val="36"/>
          <w:rFonts w:ascii="Calibri" w:cs="Calibri" w:eastAsia="Calibri" w:hAnsi="Calibri"/>
        </w:rPr>
        <w:t xml:space="preserve">SOUHLAS PRONAJÍMATELE S PODNÁJMEM</w:t>
      </w:r>
    </w:p>
    <w:p>
      <w:pPr>
        <w:spacing w:after="200" w:before="0"/>
      </w:pPr>
      <w:r>
        <w:rPr>
          <w:b w:val="false"/>
          <w:bCs w:val="false"/>
          <w:i w:val="false"/>
          <w:iCs w:val="false"/>
          <w:color w:val="767676"/>
          <w:sz w:val="20"/>
          <w:szCs w:val="20"/>
          <w:rFonts w:ascii="Calibri" w:cs="Calibri" w:eastAsia="Calibri" w:hAnsi="Calibri"/>
        </w:rPr>
        <w:t xml:space="preserve">Písemný souhlas s přenecháním bytu (nebo jeho části) do podnájmu třetí osobě · § 2274–2277 občanského zákoníku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Pronajímatel: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__________, nar. __________, bytem __________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Nájemce: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__________, nar. __________, bytem __________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Předmět nájmu: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byt č. __________ o velikosti __________, __________. NP, na adrese __________, na základě nájemní smlouvy ze dne __________</w:t>
      </w:r>
    </w:p>
    <w:p>
      <w:pPr>
        <w:spacing w:after="60" w:before="200"/>
      </w:pPr>
      <w:r>
        <w:rPr>
          <w:b/>
          <w:bCs/>
          <w:i w:val="false"/>
          <w:iCs w:val="false"/>
          <w:color w:val="E3000F"/>
          <w:sz w:val="24"/>
          <w:szCs w:val="24"/>
          <w:rFonts w:ascii="Calibri" w:cs="Calibri" w:eastAsia="Calibri" w:hAnsi="Calibri"/>
        </w:rPr>
        <w:t xml:space="preserve">Souhlas s podnájmem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Pronajímatel tímto uděluje nájemci podle § 2275 občanského zákoníku písemný souhlas s přenecháním ☐ celého bytu   ☐ části bytu (místnost: __________) do podnájmu této osobě: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Podnájemce: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__________, nar. __________, trvale bytem __________, tel. __________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Doba podnájmu: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od __________ do __________ (nejdéle však po dobu trvání nájmu).</w:t>
      </w:r>
    </w:p>
    <w:p>
      <w:pPr>
        <w:spacing w:after="80" w:before="0"/>
      </w:pPr>
      <w:r>
        <w:rPr>
          <w:b/>
          <w:bCs/>
          <w:i w:val="false"/>
          <w:iCs w:val="false"/>
          <w:sz w:val="22"/>
          <w:szCs w:val="22"/>
          <w:rFonts w:ascii="Calibri" w:cs="Calibri" w:eastAsia="Calibri" w:hAnsi="Calibri"/>
        </w:rPr>
        <w:t xml:space="preserve">Počet osob:</w:t>
      </w: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 v bytě bude bydlet celkem __________ osob; nájemce se v bytě ☐ zdržuje trvale   ☐ nezdržuje.</w:t>
      </w:r>
    </w:p>
    <w:p>
      <w:pPr>
        <w:spacing w:after="60" w:before="200"/>
      </w:pPr>
      <w:r>
        <w:rPr>
          <w:b/>
          <w:bCs/>
          <w:i w:val="false"/>
          <w:iCs w:val="false"/>
          <w:color w:val="E3000F"/>
          <w:sz w:val="24"/>
          <w:szCs w:val="24"/>
          <w:rFonts w:ascii="Calibri" w:cs="Calibri" w:eastAsia="Calibri" w:hAnsi="Calibri"/>
        </w:rPr>
        <w:t xml:space="preserve">Podmínky souhlasu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1"/>
          <w:szCs w:val="21"/>
          <w:rFonts w:ascii="Calibri" w:cs="Calibri" w:eastAsia="Calibri" w:hAnsi="Calibri"/>
        </w:rPr>
        <w:t xml:space="preserve">1. Nájemce zůstává vůči pronajímateli plně odpovědný za řádné placení nájemného a záloh, za stav bytu i za jednání podnájemce, jako by byt užíval sám (§ 2216 občanského zákoníku).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1"/>
          <w:szCs w:val="21"/>
          <w:rFonts w:ascii="Calibri" w:cs="Calibri" w:eastAsia="Calibri" w:hAnsi="Calibri"/>
        </w:rPr>
        <w:t xml:space="preserve">2. Podnájem skončí nejpozději spolu s nájmem (§ 2277 občanského zákoníku). Nájemce je povinen podnájemce o tom poučit a zajistit vyklizení bytu ke dni skončení nájmu.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1"/>
          <w:szCs w:val="21"/>
          <w:rFonts w:ascii="Calibri" w:cs="Calibri" w:eastAsia="Calibri" w:hAnsi="Calibri"/>
        </w:rPr>
        <w:t xml:space="preserve">3. Nájemce oznámí pronajímateli změnu počtu osob v bytě do 2 měsíců (§ 2272 občanského zákoníku); počet osob je podkladem pro rozúčtování služeb.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1"/>
          <w:szCs w:val="21"/>
          <w:rFonts w:ascii="Calibri" w:cs="Calibri" w:eastAsia="Calibri" w:hAnsi="Calibri"/>
        </w:rPr>
        <w:t xml:space="preserve">4. Podnájemce nemá vůči pronajímateli žádná práva z nájemní smlouvy; nájemné a platby hradí výhradně nájemce.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1"/>
          <w:szCs w:val="21"/>
          <w:rFonts w:ascii="Calibri" w:cs="Calibri" w:eastAsia="Calibri" w:hAnsi="Calibri"/>
        </w:rPr>
        <w:t xml:space="preserve">5. Souhlas se vztahuje pouze na výše uvedeného podnájemce. Přenechání bytu jiné osobě, krátkodobé pronájmy typu Airbnb nebo podnikání v bytě vyžadují nový souhlas.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1"/>
          <w:szCs w:val="21"/>
          <w:rFonts w:ascii="Calibri" w:cs="Calibri" w:eastAsia="Calibri" w:hAnsi="Calibri"/>
        </w:rPr>
        <w:t xml:space="preserve">6. Pronajímatel je oprávněn souhlas odvolat, pokud podnájemce závažně porušuje domovní řád nebo pokud nájemce poruší podmínky tohoto souhlasu; odvolání se doručuje nájemci písemně.</w:t>
      </w:r>
    </w:p>
    <w:p>
      <w:pPr>
        <w:spacing w:after="80" w:before="0"/>
      </w:pPr>
      <w:r>
        <w:rPr>
          <w:b w:val="false"/>
          <w:bCs w:val="false"/>
          <w:i/>
          <w:iCs/>
          <w:sz w:val="20"/>
          <w:szCs w:val="20"/>
          <w:rFonts w:ascii="Calibri" w:cs="Calibri" w:eastAsia="Calibri" w:hAnsi="Calibri"/>
        </w:rPr>
        <w:t xml:space="preserve">Podnájem bez souhlasu pronajímatele (nebydlí-li nájemce v bytě trvale) je hrubým porušením povinností nájemce a důvodem k výpovědi nájmu (§ 2275 odst. 2 a § 2288 občanského zákoníku).</w:t>
      </w:r>
    </w:p>
    <w:p>
      <w:pPr>
        <w:spacing w:after="80" w:before="0"/>
      </w:pPr>
      <w:r>
        <w:rPr>
          <w:b w:val="false"/>
          <w:bCs w:val="false"/>
          <w:i w:val="false"/>
          <w:iCs w:val="false"/>
          <w:sz w:val="22"/>
          <w:szCs w:val="22"/>
          <w:rFonts w:ascii="Calibri" w:cs="Calibri" w:eastAsia="Calibri" w:hAnsi="Calibri"/>
        </w:rPr>
        <w:t xml:space="preserve">V __________ dne __________</w:t>
      </w:r>
    </w:p>
    <w:p>
      <w:pPr>
        <w:spacing w:after="80" w:before="0"/>
      </w:pPr>
    </w:p>
    <w:tbl>
      <w:tblPr>
        <w:tblW w:type="pct" w:w="100%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  <w:gridCol w:w="100"/>
      </w:tblGrid>
      <w:tr>
        <w:tc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  <w:t xml:space="preserve">______________________________</w:t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color w:val="767676"/>
                <w:sz w:val="18"/>
                <w:szCs w:val="18"/>
                <w:rFonts w:ascii="Calibri" w:cs="Calibri" w:eastAsia="Calibri" w:hAnsi="Calibri"/>
              </w:rPr>
              <w:t xml:space="preserve">pronajímatel</w:t>
            </w:r>
          </w:p>
        </w:tc>
        <w:tc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  <w:rFonts w:ascii="Calibri" w:cs="Calibri" w:eastAsia="Calibri" w:hAnsi="Calibri"/>
              </w:rPr>
              <w:t xml:space="preserve">______________________________</w:t>
            </w:r>
          </w:p>
          <w:p>
            <w:pPr>
              <w:spacing w:after="80" w:before="0"/>
            </w:pPr>
            <w:r>
              <w:rPr>
                <w:b w:val="false"/>
                <w:bCs w:val="false"/>
                <w:i w:val="false"/>
                <w:iCs w:val="false"/>
                <w:color w:val="767676"/>
                <w:sz w:val="18"/>
                <w:szCs w:val="18"/>
                <w:rFonts w:ascii="Calibri" w:cs="Calibri" w:eastAsia="Calibri" w:hAnsi="Calibri"/>
              </w:rPr>
              <w:t xml:space="preserve">nájemce</w:t>
            </w:r>
          </w:p>
        </w:tc>
      </w:tr>
    </w:tbl>
    <w:p>
      <w:pPr>
        <w:spacing w:after="80" w:before="0"/>
      </w:pPr>
      <w:r>
        <w:rPr>
          <w:b w:val="false"/>
          <w:bCs w:val="false"/>
          <w:i/>
          <w:iCs/>
          <w:color w:val="767676"/>
          <w:sz w:val="18"/>
          <w:szCs w:val="18"/>
          <w:rFonts w:ascii="Calibri" w:cs="Calibri" w:eastAsia="Calibri" w:hAnsi="Calibri"/>
        </w:rPr>
        <w:t xml:space="preserve">Tip: souhlas vyhotovte ve dvou stejnopisech a k nájemní smlouvě přiložte jako dodatek. Pokud nájemce v bytě sám trvale bydlí, může část bytu podnajmout i bez souhlasu (§ 2274) – v takovém případě chtějte alespoň písemné oznámení s počtem osob.</w:t>
      </w:r>
    </w:p>
    <w:sectPr>
      <w:headerReference w:type="default" r:id="rId6"/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b w:val="false"/>
        <w:bCs w:val="false"/>
        <w:i w:val="false"/>
        <w:iCs w:val="false"/>
        <w:color w:val="767676"/>
        <w:sz w:val="15"/>
        <w:szCs w:val="15"/>
        <w:rFonts w:ascii="Calibri" w:cs="Calibri" w:eastAsia="Calibri" w:hAnsi="Calibri"/>
      </w:rPr>
      <w:t xml:space="preserve">Vzor je informativní a nenahrazuje právní poradenství. Nájmy bez starostí Znojmo s.r.o. · 605 274 041 · info@najmybezstarosti.cz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</w:pPr>
    <w:r>
      <w:rPr>
        <w:b/>
        <w:bCs/>
        <w:i w:val="false"/>
        <w:iCs w:val="false"/>
        <w:color w:val="E3000F"/>
        <w:sz w:val="18"/>
        <w:szCs w:val="18"/>
        <w:rFonts w:ascii="Calibri" w:cs="Calibri" w:eastAsia="Calibri" w:hAnsi="Calibri"/>
      </w:rPr>
      <w:t xml:space="preserve">NÁJMY BEZ STAROSTÍ</w:t>
    </w:r>
    <w:r>
      <w:rPr>
        <w:b w:val="false"/>
        <w:bCs w:val="false"/>
        <w:i w:val="false"/>
        <w:iCs w:val="false"/>
        <w:color w:val="767676"/>
        <w:sz w:val="16"/>
        <w:szCs w:val="16"/>
        <w:rFonts w:ascii="Calibri" w:cs="Calibri" w:eastAsia="Calibri" w:hAnsi="Calibri"/>
      </w:rPr>
      <w:t xml:space="preserve">   ·   vzor zdarma pro pronajímatele   ·   najmybezstarosti.cz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2026-09-08T16:08:28.290Z</dcterms:created>
  <dcterms:modified xsi:type="dcterms:W3CDTF">2026-09-08T16:08:28.290Z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